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16" w:rsidRPr="00D873A6" w:rsidRDefault="00106616" w:rsidP="00106616">
      <w:pPr>
        <w:jc w:val="center"/>
        <w:rPr>
          <w:rFonts w:ascii="Neo Sans Pro" w:hAnsi="Neo Sans Pro"/>
          <w:b/>
          <w:sz w:val="20"/>
          <w:szCs w:val="20"/>
        </w:rPr>
      </w:pPr>
      <w:r w:rsidRPr="00D873A6">
        <w:rPr>
          <w:rFonts w:ascii="Neo Sans Pro" w:hAnsi="Neo Sans Pro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DFB6E9" wp14:editId="5278F717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1" name="Obraz 1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616" w:rsidRPr="00D873A6" w:rsidRDefault="00106616" w:rsidP="00106616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D873A6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4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6"/>
        <w:gridCol w:w="2242"/>
        <w:gridCol w:w="53"/>
        <w:gridCol w:w="2895"/>
        <w:gridCol w:w="88"/>
        <w:gridCol w:w="1925"/>
        <w:gridCol w:w="112"/>
      </w:tblGrid>
      <w:tr w:rsidR="00106616" w:rsidRPr="00D873A6" w:rsidTr="00826107">
        <w:trPr>
          <w:gridAfter w:val="1"/>
          <w:wAfter w:w="112" w:type="dxa"/>
          <w:trHeight w:val="1096"/>
        </w:trPr>
        <w:tc>
          <w:tcPr>
            <w:tcW w:w="9356" w:type="dxa"/>
            <w:gridSpan w:val="7"/>
          </w:tcPr>
          <w:p w:rsidR="00106616" w:rsidRPr="00D873A6" w:rsidRDefault="00106616" w:rsidP="001371BB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0"/>
                <w:szCs w:val="20"/>
                <w:lang w:eastAsia="pl-PL"/>
              </w:rPr>
            </w:pPr>
          </w:p>
          <w:p w:rsidR="00106616" w:rsidRPr="00D873A6" w:rsidRDefault="00106616" w:rsidP="001371BB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NIEODPŁATNA MEDIACJA</w:t>
            </w:r>
            <w:r w:rsidRPr="00D873A6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</w:r>
          </w:p>
        </w:tc>
      </w:tr>
      <w:tr w:rsidR="00106616" w:rsidRPr="00D873A6" w:rsidTr="00826107">
        <w:trPr>
          <w:gridAfter w:val="1"/>
          <w:wAfter w:w="112" w:type="dxa"/>
          <w:trHeight w:val="6951"/>
        </w:trPr>
        <w:tc>
          <w:tcPr>
            <w:tcW w:w="2127" w:type="dxa"/>
            <w:vAlign w:val="center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6"/>
          </w:tcPr>
          <w:p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Mediacja jest metodą rozwiązywania konfliktów, w której uczestnicy poszukują najlepszych dla siebie rozwiązań. Osoba prowadząca mediację wspiera strony w znalezieniu przez nie satysfakcjonującego porozumienia. Mediacja jest dobrowolna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i poufna. </w:t>
            </w:r>
          </w:p>
          <w:p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Mediacje prowadzi mediator, czyli osoba profesjonalnie przygotowana do rozwiązywania sporów, która jest niezależna, bezstronna wobec uczestników i neutralna wobec przedmiotu sporu.</w:t>
            </w:r>
          </w:p>
          <w:p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Nieodpłatna mediacja może być prowadzona w sprawach małżeńskich, rodzinnych, sąsiedzkich, konsumenckich i w innych kwestiach spornych, w tym również w sprawach toczących się już na drodze sądowej, o ile sąd nie skierował jeszcze sprawy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do mediacji sądowej.</w:t>
            </w:r>
          </w:p>
          <w:p w:rsidR="00106616" w:rsidRPr="00D873A6" w:rsidRDefault="00106616" w:rsidP="001371BB">
            <w:p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Usługa może obejmować również: </w:t>
            </w:r>
          </w:p>
          <w:p w:rsidR="00106616" w:rsidRPr="00D873A6" w:rsidRDefault="00106616" w:rsidP="001371BB">
            <w:pPr>
              <w:pStyle w:val="Akapitzlist"/>
              <w:numPr>
                <w:ilvl w:val="0"/>
                <w:numId w:val="1"/>
              </w:num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rozmowę informacyjną o możliwościach wykorzystania polubownych metod rozwiązywania sporów.</w:t>
            </w:r>
          </w:p>
          <w:p w:rsidR="00106616" w:rsidRPr="00D873A6" w:rsidRDefault="00106616" w:rsidP="001371BB">
            <w:pPr>
              <w:pStyle w:val="Akapitzlist"/>
              <w:numPr>
                <w:ilvl w:val="0"/>
                <w:numId w:val="1"/>
              </w:num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przygotowanie projektu umowy o mediacje lub wniosku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o mediacje, który osoba inicjująca mediację wystosuje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do drugiej strony sporu.</w:t>
            </w:r>
          </w:p>
          <w:p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Nieodpłatna mediacja nie może być prowadzona w sprawach formalnie skierowanych do mediacji (przez sąd albo inny organ),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a także w sprawach, gdzie zachodzi podejrzenie przemocy</w:t>
            </w:r>
            <w:r w:rsidR="00D873A6">
              <w:rPr>
                <w:rFonts w:ascii="Neo Sans Pro" w:hAnsi="Neo Sans Pro"/>
                <w:sz w:val="24"/>
                <w:szCs w:val="24"/>
              </w:rPr>
              <w:t xml:space="preserve">                      </w:t>
            </w:r>
            <w:r w:rsidRPr="00D873A6">
              <w:rPr>
                <w:rFonts w:ascii="Neo Sans Pro" w:hAnsi="Neo Sans Pro"/>
                <w:sz w:val="24"/>
                <w:szCs w:val="24"/>
              </w:rPr>
              <w:t xml:space="preserve"> w relacji stron.</w:t>
            </w:r>
          </w:p>
        </w:tc>
      </w:tr>
      <w:tr w:rsidR="00106616" w:rsidRPr="00D873A6" w:rsidTr="00826107">
        <w:trPr>
          <w:gridAfter w:val="1"/>
          <w:wAfter w:w="112" w:type="dxa"/>
          <w:trHeight w:val="2262"/>
        </w:trPr>
        <w:tc>
          <w:tcPr>
            <w:tcW w:w="2127" w:type="dxa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D873A6">
              <w:rPr>
                <w:rFonts w:ascii="Neo Sans Pro" w:eastAsia="Times New Roman" w:hAnsi="Neo Sans Pro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6"/>
          </w:tcPr>
          <w:p w:rsidR="00106616" w:rsidRPr="00D873A6" w:rsidRDefault="00106616" w:rsidP="001371BB">
            <w:pPr>
              <w:spacing w:after="6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Uprawniona do zainicjowania takiej darmowej mediacji jest każda osoba, której nie stać na odpłatną pomoc prawną i która złoży stosowne oświadczenie w tej sprawie. Druga strona sporu, zapraszana do mediacji przez osobę uprawnioną, nie musi spełniać tych warunków. </w:t>
            </w:r>
          </w:p>
          <w:p w:rsidR="00106616" w:rsidRPr="00D873A6" w:rsidRDefault="00037256" w:rsidP="001371BB">
            <w:pPr>
              <w:spacing w:after="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 </w:t>
            </w:r>
          </w:p>
        </w:tc>
      </w:tr>
      <w:tr w:rsidR="00106616" w:rsidRPr="00D873A6" w:rsidTr="00826107">
        <w:trPr>
          <w:gridAfter w:val="1"/>
          <w:wAfter w:w="112" w:type="dxa"/>
          <w:trHeight w:val="1006"/>
        </w:trPr>
        <w:tc>
          <w:tcPr>
            <w:tcW w:w="2127" w:type="dxa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6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Termin wizyty ustalany jest w punkach nieodpłatnej pomocy prawnej i nieodpłatnego poradnictwa obywatelskiego </w:t>
            </w:r>
          </w:p>
        </w:tc>
      </w:tr>
      <w:tr w:rsidR="00106616" w:rsidRPr="00D873A6" w:rsidTr="00826107">
        <w:trPr>
          <w:gridAfter w:val="1"/>
          <w:wAfter w:w="112" w:type="dxa"/>
          <w:trHeight w:val="845"/>
        </w:trPr>
        <w:tc>
          <w:tcPr>
            <w:tcW w:w="2127" w:type="dxa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D873A6">
              <w:rPr>
                <w:rFonts w:ascii="Neo Sans Pro" w:hAnsi="Neo Sans Pro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6"/>
          </w:tcPr>
          <w:p w:rsidR="00106616" w:rsidRPr="00D873A6" w:rsidRDefault="00106616" w:rsidP="001371BB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Mediacja co do zasady jest świadczona podczas osobistej wizyty </w:t>
            </w:r>
            <w:r w:rsidRPr="00D873A6">
              <w:rPr>
                <w:rFonts w:ascii="Neo Sans Pro" w:hAnsi="Neo Sans Pro"/>
                <w:sz w:val="24"/>
                <w:szCs w:val="24"/>
              </w:rPr>
              <w:br/>
              <w:t>w punkach nieodpłatnej pomocy prawnej i nieodpłatnego poradnictwa obywatelskiego.</w:t>
            </w:r>
          </w:p>
        </w:tc>
      </w:tr>
      <w:tr w:rsidR="00106616" w:rsidRPr="00D873A6" w:rsidTr="00826107">
        <w:trPr>
          <w:trHeight w:val="692"/>
        </w:trPr>
        <w:tc>
          <w:tcPr>
            <w:tcW w:w="2153" w:type="dxa"/>
            <w:gridSpan w:val="2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lastRenderedPageBreak/>
              <w:t>Jednostka prowadząca</w:t>
            </w:r>
          </w:p>
        </w:tc>
        <w:tc>
          <w:tcPr>
            <w:tcW w:w="2295" w:type="dxa"/>
            <w:gridSpan w:val="2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8"/>
                <w:szCs w:val="28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        adres</w:t>
            </w:r>
          </w:p>
        </w:tc>
        <w:tc>
          <w:tcPr>
            <w:tcW w:w="2983" w:type="dxa"/>
            <w:gridSpan w:val="2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dni i godziny dyżurów</w:t>
            </w:r>
          </w:p>
        </w:tc>
        <w:tc>
          <w:tcPr>
            <w:tcW w:w="2037" w:type="dxa"/>
            <w:gridSpan w:val="2"/>
          </w:tcPr>
          <w:p w:rsidR="00106616" w:rsidRPr="00D873A6" w:rsidRDefault="00106616" w:rsidP="001371BB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0C4F71" w:rsidRPr="00D873A6" w:rsidTr="00826107">
        <w:tc>
          <w:tcPr>
            <w:tcW w:w="2153" w:type="dxa"/>
            <w:gridSpan w:val="2"/>
          </w:tcPr>
          <w:p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F126C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Radcy prawni 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295" w:type="dxa"/>
            <w:gridSpan w:val="2"/>
          </w:tcPr>
          <w:p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Struga 88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:rsidR="00F97335" w:rsidRPr="00D873A6" w:rsidRDefault="00F9733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Wtorek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18:00</w:t>
            </w:r>
          </w:p>
          <w:p w:rsidR="000C4F71" w:rsidRPr="00D873A6" w:rsidRDefault="000C4F71" w:rsidP="000C4F7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Piątek</w:t>
            </w:r>
          </w:p>
          <w:p w:rsidR="000C4F71" w:rsidRPr="00D873A6" w:rsidRDefault="000C4F71" w:rsidP="000C4F71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12:00 do godz. 14:00</w:t>
            </w:r>
          </w:p>
        </w:tc>
        <w:tc>
          <w:tcPr>
            <w:tcW w:w="2037" w:type="dxa"/>
            <w:gridSpan w:val="2"/>
          </w:tcPr>
          <w:p w:rsidR="00F97335" w:rsidRPr="00D873A6" w:rsidRDefault="00F97335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509 015 211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0C4F71" w:rsidRPr="00D873A6" w:rsidTr="00826107">
        <w:tc>
          <w:tcPr>
            <w:tcW w:w="2153" w:type="dxa"/>
            <w:gridSpan w:val="2"/>
          </w:tcPr>
          <w:p w:rsidR="000C4F71" w:rsidRPr="00F126C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Adwokaci </w:t>
            </w:r>
          </w:p>
        </w:tc>
        <w:tc>
          <w:tcPr>
            <w:tcW w:w="2295" w:type="dxa"/>
            <w:gridSpan w:val="2"/>
          </w:tcPr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Środy</w:t>
            </w:r>
          </w:p>
          <w:p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08:00 do godz. 16:00</w:t>
            </w:r>
          </w:p>
          <w:p w:rsidR="00F97335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Piątek</w:t>
            </w:r>
          </w:p>
          <w:p w:rsidR="000C4F71" w:rsidRPr="00D873A6" w:rsidRDefault="00F97335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godz. 10:00 do godz. 12:00</w:t>
            </w:r>
          </w:p>
          <w:p w:rsidR="00826107" w:rsidRPr="00D873A6" w:rsidRDefault="00826107" w:rsidP="00F97335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:rsidR="000C4F71" w:rsidRPr="00D873A6" w:rsidRDefault="000C4F71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>509 145 170</w:t>
            </w:r>
          </w:p>
        </w:tc>
      </w:tr>
      <w:tr w:rsidR="00826107" w:rsidRPr="00D873A6" w:rsidTr="00826107">
        <w:trPr>
          <w:gridAfter w:val="1"/>
          <w:wAfter w:w="112" w:type="dxa"/>
        </w:trPr>
        <w:tc>
          <w:tcPr>
            <w:tcW w:w="2127" w:type="dxa"/>
          </w:tcPr>
          <w:p w:rsidR="00826107" w:rsidRPr="00F126C6" w:rsidRDefault="00826107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F126C6">
              <w:rPr>
                <w:rFonts w:ascii="Neo Sans Pro" w:hAnsi="Neo Sans Pro"/>
                <w:b/>
                <w:sz w:val="24"/>
                <w:szCs w:val="24"/>
              </w:rPr>
              <w:t xml:space="preserve">Towarzystwo Przyjaciół Dzieci Oddział Powiatowy w Radomiu </w:t>
            </w:r>
          </w:p>
          <w:p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 od godz. 10:00 do godz. 14:00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  <w:gridSpan w:val="2"/>
          </w:tcPr>
          <w:p w:rsidR="00826107" w:rsidRPr="00D873A6" w:rsidRDefault="00826107" w:rsidP="00D873A6">
            <w:pPr>
              <w:spacing w:after="16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20 309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26107" w:rsidRPr="00D873A6" w:rsidTr="00826107">
        <w:trPr>
          <w:gridAfter w:val="1"/>
          <w:wAfter w:w="112" w:type="dxa"/>
        </w:trPr>
        <w:tc>
          <w:tcPr>
            <w:tcW w:w="2127" w:type="dxa"/>
          </w:tcPr>
          <w:p w:rsidR="00826107" w:rsidRPr="00F126C6" w:rsidRDefault="00826107" w:rsidP="000C501F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F126C6">
              <w:rPr>
                <w:rFonts w:ascii="Neo Sans Pro" w:hAnsi="Neo Sans Pro"/>
                <w:b/>
                <w:sz w:val="24"/>
                <w:szCs w:val="24"/>
              </w:rPr>
              <w:t>Fundacja Instytut Spraw Publicznych</w:t>
            </w:r>
          </w:p>
          <w:p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 od godz. 10:00 do godz. 18:00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  <w:gridSpan w:val="2"/>
          </w:tcPr>
          <w:p w:rsidR="00826107" w:rsidRPr="00D873A6" w:rsidRDefault="00826107" w:rsidP="00D873A6">
            <w:pPr>
              <w:spacing w:after="16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20 155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26107" w:rsidRPr="00D873A6" w:rsidTr="000C501F">
        <w:tc>
          <w:tcPr>
            <w:tcW w:w="2153" w:type="dxa"/>
            <w:gridSpan w:val="2"/>
          </w:tcPr>
          <w:p w:rsidR="00826107" w:rsidRPr="00F126C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</w:pPr>
            <w:r w:rsidRPr="00F126C6">
              <w:rPr>
                <w:rFonts w:ascii="Neo Sans Pro" w:eastAsia="Times New Roman" w:hAnsi="Neo Sans Pro"/>
                <w:b/>
                <w:sz w:val="24"/>
                <w:szCs w:val="24"/>
                <w:lang w:eastAsia="pl-PL"/>
              </w:rPr>
              <w:t xml:space="preserve">Stowarzyszenie Rozwoju Społecznego „MAGIS” </w:t>
            </w:r>
          </w:p>
        </w:tc>
        <w:tc>
          <w:tcPr>
            <w:tcW w:w="2295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ul. Reja 5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26-600 Radom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983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</w:t>
            </w:r>
          </w:p>
          <w:p w:rsidR="00826107" w:rsidRPr="00D873A6" w:rsidRDefault="007B18C5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</w:t>
            </w:r>
            <w:r w:rsidR="00826107" w:rsidRPr="00D873A6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d godz. 14:00 do godz. 18:00</w:t>
            </w:r>
          </w:p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37" w:type="dxa"/>
            <w:gridSpan w:val="2"/>
          </w:tcPr>
          <w:p w:rsidR="00826107" w:rsidRPr="00D873A6" w:rsidRDefault="00826107" w:rsidP="000C501F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873A6">
              <w:rPr>
                <w:rFonts w:ascii="Neo Sans Pro" w:hAnsi="Neo Sans Pro"/>
                <w:b/>
                <w:sz w:val="24"/>
                <w:szCs w:val="24"/>
              </w:rPr>
              <w:t>(48) 36 20 301</w:t>
            </w:r>
          </w:p>
        </w:tc>
      </w:tr>
    </w:tbl>
    <w:p w:rsidR="00826107" w:rsidRPr="00D873A6" w:rsidRDefault="00826107">
      <w:pPr>
        <w:rPr>
          <w:rFonts w:ascii="Neo Sans Pro" w:hAnsi="Neo Sans Pro"/>
        </w:rPr>
      </w:pPr>
      <w:bookmarkStart w:id="0" w:name="_GoBack"/>
      <w:bookmarkEnd w:id="0"/>
    </w:p>
    <w:sectPr w:rsidR="00826107" w:rsidRPr="00D873A6" w:rsidSect="00046C8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E7" w:rsidRDefault="003302E7">
      <w:pPr>
        <w:spacing w:after="0" w:line="240" w:lineRule="auto"/>
      </w:pPr>
      <w:r>
        <w:separator/>
      </w:r>
    </w:p>
  </w:endnote>
  <w:endnote w:type="continuationSeparator" w:id="0">
    <w:p w:rsidR="003302E7" w:rsidRDefault="00330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F8" w:rsidRDefault="003302E7">
    <w:pPr>
      <w:pStyle w:val="Stopka"/>
    </w:pPr>
  </w:p>
  <w:p w:rsidR="00356CF8" w:rsidRDefault="003302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E7" w:rsidRDefault="003302E7">
      <w:pPr>
        <w:spacing w:after="0" w:line="240" w:lineRule="auto"/>
      </w:pPr>
      <w:r>
        <w:separator/>
      </w:r>
    </w:p>
  </w:footnote>
  <w:footnote w:type="continuationSeparator" w:id="0">
    <w:p w:rsidR="003302E7" w:rsidRDefault="00330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05103"/>
    <w:multiLevelType w:val="hybridMultilevel"/>
    <w:tmpl w:val="31A26D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05"/>
    <w:rsid w:val="00037256"/>
    <w:rsid w:val="000C4F71"/>
    <w:rsid w:val="00106616"/>
    <w:rsid w:val="001E4F00"/>
    <w:rsid w:val="00323D31"/>
    <w:rsid w:val="003302E7"/>
    <w:rsid w:val="004D1492"/>
    <w:rsid w:val="007B18C5"/>
    <w:rsid w:val="00826107"/>
    <w:rsid w:val="00850CBF"/>
    <w:rsid w:val="009F4268"/>
    <w:rsid w:val="00C47B8E"/>
    <w:rsid w:val="00D873A6"/>
    <w:rsid w:val="00E86575"/>
    <w:rsid w:val="00EA5205"/>
    <w:rsid w:val="00F126C6"/>
    <w:rsid w:val="00F9642F"/>
    <w:rsid w:val="00F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616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1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616"/>
    <w:pPr>
      <w:spacing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61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06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6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2020-05-29T16:01:00Z</dcterms:created>
  <dcterms:modified xsi:type="dcterms:W3CDTF">2020-05-29T16:08:00Z</dcterms:modified>
</cp:coreProperties>
</file>