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  <w:bookmarkStart w:id="0" w:name="_GoBack"/>
      <w:bookmarkEnd w:id="0"/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8B4C7F" w:rsidRPr="000A798E" w:rsidRDefault="005D346F" w:rsidP="008B4C7F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8B4C7F">
        <w:rPr>
          <w:rFonts w:ascii="Neo Sans Pro" w:eastAsiaTheme="minorHAnsi" w:hAnsi="Neo Sans Pro" w:cs="NeoSansPro-Regular"/>
          <w:lang w:eastAsia="en-US"/>
        </w:rPr>
        <w:t>tekst jednolity: Dz.U. z 2020</w:t>
      </w:r>
      <w:r w:rsidR="008B4C7F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8B4C7F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8B4C7F">
        <w:rPr>
          <w:rFonts w:ascii="Neo Sans Pro" w:eastAsiaTheme="minorHAnsi" w:hAnsi="Neo Sans Pro" w:cs="NeoSansPro-Regular"/>
          <w:lang w:eastAsia="en-US"/>
        </w:rPr>
        <w:t>(tekst jednolity: Dz.U. z 2020</w:t>
      </w:r>
      <w:r w:rsidR="006112AC" w:rsidRPr="000A798E">
        <w:rPr>
          <w:rFonts w:ascii="Neo Sans Pro" w:eastAsiaTheme="minorHAnsi" w:hAnsi="Neo Sans Pro" w:cs="NeoSansPro-Regular"/>
          <w:lang w:eastAsia="en-US"/>
        </w:rPr>
        <w:t xml:space="preserve">r., poz. </w:t>
      </w:r>
      <w:r w:rsidR="008B4C7F">
        <w:rPr>
          <w:rFonts w:ascii="Neo Sans Pro" w:eastAsiaTheme="minorHAnsi" w:hAnsi="Neo Sans Pro" w:cs="NeoSansPro-Regular"/>
          <w:lang w:eastAsia="en-US"/>
        </w:rPr>
        <w:t>1076</w:t>
      </w:r>
      <w:r w:rsidR="006112AC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935D9A">
      <w:rPr>
        <w:rFonts w:ascii="Neo Sans Pro" w:eastAsia="Calibri" w:hAnsi="Neo Sans Pro"/>
        <w:sz w:val="20"/>
        <w:szCs w:val="20"/>
      </w:rPr>
      <w:t>466.478</w:t>
    </w:r>
    <w:r w:rsidR="0071767C">
      <w:rPr>
        <w:rFonts w:ascii="Neo Sans Pro" w:eastAsia="Calibri" w:hAnsi="Neo Sans Pro"/>
        <w:sz w:val="20"/>
        <w:szCs w:val="20"/>
      </w:rPr>
      <w:t>.2020</w:t>
    </w:r>
    <w:r w:rsidR="001809B5" w:rsidRPr="000A798E">
      <w:rPr>
        <w:rFonts w:ascii="Neo Sans Pro" w:eastAsia="Calibri" w:hAnsi="Neo Sans Pro"/>
        <w:sz w:val="20"/>
        <w:szCs w:val="20"/>
      </w:rPr>
      <w:t>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</w:t>
    </w:r>
    <w:r w:rsidR="00935D9A">
      <w:rPr>
        <w:rFonts w:ascii="Neo Sans Pro" w:hAnsi="Neo Sans Pro" w:cs="Arial"/>
        <w:bCs/>
        <w:sz w:val="20"/>
        <w:szCs w:val="20"/>
      </w:rPr>
      <w:t>zakup i dostawę monitorów i drukarek.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B4C7F"/>
    <w:rsid w:val="008C565E"/>
    <w:rsid w:val="008C6D8D"/>
    <w:rsid w:val="008C71BA"/>
    <w:rsid w:val="008D0B69"/>
    <w:rsid w:val="008D3EE0"/>
    <w:rsid w:val="008D5C4A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35D9A"/>
    <w:rsid w:val="00941C5E"/>
    <w:rsid w:val="00945147"/>
    <w:rsid w:val="009557B4"/>
    <w:rsid w:val="00962A4E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C625C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FE74-6505-4CBF-AD73-4201C124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9</cp:revision>
  <cp:lastPrinted>2018-11-05T14:48:00Z</cp:lastPrinted>
  <dcterms:created xsi:type="dcterms:W3CDTF">2019-12-30T12:13:00Z</dcterms:created>
  <dcterms:modified xsi:type="dcterms:W3CDTF">2020-11-13T07:14:00Z</dcterms:modified>
</cp:coreProperties>
</file>