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A1" w:rsidRPr="00D97AAD" w:rsidRDefault="00A679A1" w:rsidP="005154DC">
      <w:pPr>
        <w:spacing w:before="24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A679A1" w:rsidRPr="00D97AAD" w:rsidRDefault="00A679A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A679A1" w:rsidRPr="00B01A54" w:rsidRDefault="00A679A1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A679A1" w:rsidRPr="00D97AAD" w:rsidRDefault="00A679A1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679A1" w:rsidRPr="00D97AAD" w:rsidRDefault="00A679A1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679A1" w:rsidRPr="00D97AAD" w:rsidRDefault="00A679A1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679A1" w:rsidRPr="00D97AAD" w:rsidRDefault="00A679A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679A1" w:rsidRPr="00B01A54" w:rsidRDefault="00A679A1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679A1" w:rsidRPr="00D97AAD" w:rsidRDefault="00A679A1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679A1" w:rsidRPr="00D97AAD" w:rsidRDefault="00A679A1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348"/>
      </w:tblGrid>
      <w:tr w:rsidR="00A679A1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679A1" w:rsidRPr="00D97AAD" w:rsidRDefault="00A679A1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79A1" w:rsidRPr="00D97AAD" w:rsidRDefault="00A679A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A679A1" w:rsidRPr="00D97AAD" w:rsidRDefault="00A679A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025"/>
      </w:tblGrid>
      <w:tr w:rsidR="00A679A1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679A1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DDD9C3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A97275" w:rsidRDefault="00A679A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834"/>
        <w:gridCol w:w="3615"/>
      </w:tblGrid>
      <w:tr w:rsidR="00A679A1" w:rsidRPr="00D97AAD">
        <w:tc>
          <w:tcPr>
            <w:tcW w:w="5000" w:type="pct"/>
            <w:gridSpan w:val="3"/>
            <w:shd w:val="clear" w:color="auto" w:fill="DDD9C3"/>
          </w:tcPr>
          <w:p w:rsidR="00A679A1" w:rsidRPr="00D97AAD" w:rsidRDefault="00A679A1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679A1" w:rsidRPr="00D97AAD">
        <w:tc>
          <w:tcPr>
            <w:tcW w:w="5000" w:type="pct"/>
            <w:gridSpan w:val="3"/>
            <w:shd w:val="clear" w:color="auto" w:fill="FFFFFF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79A1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679A1" w:rsidRPr="00D97AAD" w:rsidRDefault="00A679A1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c>
          <w:tcPr>
            <w:tcW w:w="1905" w:type="pct"/>
            <w:shd w:val="clear" w:color="auto" w:fill="DDD9C3"/>
            <w:vAlign w:val="center"/>
          </w:tcPr>
          <w:p w:rsidR="00A679A1" w:rsidRPr="00D97AAD" w:rsidRDefault="00A679A1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A679A1" w:rsidRPr="00D97AAD" w:rsidRDefault="00A679A1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3155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679A1" w:rsidRPr="00D97AAD" w:rsidRDefault="00A679A1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679A1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73200B" w:rsidRDefault="00A679A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4C0CC6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679A1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679A1" w:rsidRPr="00D97AAD" w:rsidRDefault="00A679A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679A1" w:rsidRPr="00B01A54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679A1" w:rsidRPr="0036487C" w:rsidRDefault="00A679A1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679A1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679A1" w:rsidRPr="00B01A54" w:rsidRDefault="00A679A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7"/>
        <w:gridCol w:w="7225"/>
        <w:gridCol w:w="1700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679A1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679A1" w:rsidRPr="00D97AAD" w:rsidRDefault="00A679A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EB3EC4">
              <w:fldChar w:fldCharType="begin"/>
            </w:r>
            <w:r w:rsidR="00EB3EC4">
              <w:instrText xml:space="preserve"> NOTEREF _Ref448837219 \h  \* MERGEFORMAT </w:instrText>
            </w:r>
            <w:r w:rsidR="00EB3EC4">
              <w:fldChar w:fldCharType="separate"/>
            </w:r>
            <w:r w:rsidR="002D5AB1" w:rsidRPr="002D5AB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EC4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EB3EC4">
              <w:fldChar w:fldCharType="begin"/>
            </w:r>
            <w:r w:rsidR="00EB3EC4">
              <w:instrText xml:space="preserve"> NOTEREF _Ref448837219 \h  \* MERGEFORMAT </w:instrText>
            </w:r>
            <w:r w:rsidR="00EB3EC4">
              <w:fldChar w:fldCharType="separate"/>
            </w:r>
            <w:r w:rsidR="002D5AB1" w:rsidRPr="002D5AB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EC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EB3EC4">
              <w:fldChar w:fldCharType="begin"/>
            </w:r>
            <w:r w:rsidR="00EB3EC4">
              <w:instrText xml:space="preserve"> NOTEREF _Ref448837219 \h  \* MERGEFORMAT </w:instrText>
            </w:r>
            <w:r w:rsidR="00EB3EC4">
              <w:fldChar w:fldCharType="separate"/>
            </w:r>
            <w:r w:rsidR="002D5AB1" w:rsidRPr="002D5AB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EC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EB3EC4">
              <w:fldChar w:fldCharType="begin"/>
            </w:r>
            <w:r w:rsidR="00EB3EC4">
              <w:instrText xml:space="preserve"> NOTEREF _Ref448837219 \h  \* MERGEFORMAT </w:instrText>
            </w:r>
            <w:r w:rsidR="00EB3EC4">
              <w:fldChar w:fldCharType="separate"/>
            </w:r>
            <w:r w:rsidR="002D5AB1" w:rsidRPr="002D5AB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EC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EB3EC4">
              <w:fldChar w:fldCharType="begin"/>
            </w:r>
            <w:r w:rsidR="00EB3EC4">
              <w:instrText xml:space="preserve"> NOTEREF _Ref446592036 \h  \* MERGEFORMAT </w:instrText>
            </w:r>
            <w:r w:rsidR="00EB3EC4">
              <w:fldChar w:fldCharType="separate"/>
            </w:r>
            <w:r w:rsidR="002D5AB1">
              <w:t>7</w:t>
            </w:r>
            <w:r w:rsidR="00EB3EC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EB3EC4">
              <w:fldChar w:fldCharType="begin"/>
            </w:r>
            <w:r w:rsidR="00EB3EC4">
              <w:instrText xml:space="preserve"> NOTEREF _Ref447110731 \h  \* MERGEFORMAT </w:instrText>
            </w:r>
            <w:r w:rsidR="00EB3EC4">
              <w:fldChar w:fldCharType="separate"/>
            </w:r>
            <w:r w:rsidR="002D5AB1">
              <w:t>9</w:t>
            </w:r>
            <w:r w:rsidR="00EB3EC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679A1" w:rsidRPr="00572333" w:rsidRDefault="00A679A1" w:rsidP="005723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  <w:r w:rsidRPr="00572333">
        <w:rPr>
          <w:rFonts w:ascii="Arial" w:hAnsi="Arial" w:cs="Arial"/>
          <w:sz w:val="20"/>
          <w:szCs w:val="20"/>
        </w:rPr>
        <w:t xml:space="preserve"> </w:t>
      </w:r>
      <w:r w:rsidRPr="00572333">
        <w:rPr>
          <w:rFonts w:ascii="Calibri" w:hAnsi="Calibri" w:cs="Calibri"/>
          <w:sz w:val="18"/>
          <w:szCs w:val="18"/>
        </w:rPr>
        <w:t>nie mają zobowiązań wobec Gminy Miasta Radomia i nie jest prowadzone wobec nich postępowanie egzekucyjne;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679A1" w:rsidRPr="00D97AAD" w:rsidRDefault="00A679A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1.1.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72333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>2</w:t>
      </w:r>
      <w:r w:rsidRPr="00572333">
        <w:rPr>
          <w:rFonts w:ascii="Calibri" w:hAnsi="Calibri" w:cs="Calibri"/>
          <w:sz w:val="20"/>
          <w:szCs w:val="20"/>
        </w:rPr>
        <w:t xml:space="preserve"> Kopia aktualnego odpisu lub wyciągu z Krajowego Rejestru Sądowego, innego rejestru lub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  <w:r w:rsidRPr="00572333">
        <w:rPr>
          <w:rFonts w:ascii="Calibri" w:hAnsi="Calibri" w:cs="Calibri"/>
          <w:sz w:val="20"/>
          <w:szCs w:val="20"/>
        </w:rPr>
        <w:t>ewidencji (każda strona podpisana za zgodność z oryginałem)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b/>
          <w:bCs/>
          <w:i/>
          <w:iCs/>
          <w:sz w:val="20"/>
          <w:szCs w:val="20"/>
        </w:rPr>
        <w:t xml:space="preserve">Odpis z Krajowego Rejestru Sądowego </w:t>
      </w:r>
      <w:r w:rsidRPr="00572333">
        <w:rPr>
          <w:rFonts w:ascii="Calibri" w:hAnsi="Calibri" w:cs="Calibri"/>
          <w:i/>
          <w:iCs/>
          <w:sz w:val="20"/>
          <w:szCs w:val="20"/>
        </w:rPr>
        <w:t>lub inny właściwy dokument stanowiący o podstawie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lastRenderedPageBreak/>
        <w:t>działalności podmiotu: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1) w przypadku fundacji i stowarzyszeń - zgodny ze stanem faktycznym i prawnym niezależnie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od daty jego wystawienia odpis aktualny z Krajowego Rejestru Sądowego;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2) w przypadku pozostałych podmiotów — inne dokumenty właściwe dla podmiotu;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3) W przypadku podmiotów znajdujących się w ewidencji prowadzonej przez Prezydenta Miasta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Radomia, dopuszcza się złożenie oświadczenia oferenta zawierające: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a) nazwę rejestru (np. Ewidencja Prezydenta Miasta Radomia);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b) numer pozycji pod którym podmiot został wpisany;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c) imienny wykaz osób uprawnionych do reprezentowania oferenta i zaciągania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zobowiązań majątkowych</w:t>
      </w:r>
      <w:r>
        <w:rPr>
          <w:rFonts w:ascii="Calibri" w:hAnsi="Calibri" w:cs="Calibri"/>
          <w:i/>
          <w:iCs/>
          <w:sz w:val="20"/>
          <w:szCs w:val="20"/>
        </w:rPr>
        <w:t xml:space="preserve"> (skład zarządu)</w:t>
      </w:r>
      <w:r w:rsidRPr="00572333">
        <w:rPr>
          <w:rFonts w:ascii="Calibri" w:hAnsi="Calibri" w:cs="Calibri"/>
          <w:i/>
          <w:iCs/>
          <w:sz w:val="20"/>
          <w:szCs w:val="20"/>
        </w:rPr>
        <w:t>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d) sposób reprezentowania organizacji zgodny z zapisem statutowym.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4) w przypadku niewpisanych do KRS podmiotów działających na podstawie przepisów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 stosunku Państwa do Kościoła Katolickiego oraz do innych kościołów i związków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wyznaniowych – dokument poświadczający, że dany podmiot posiada osobowość prawną oraz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wydane przez właściwe władze zaświadczenie o osobie (osobach) upoważnionej do składania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oświadczeń woli i zaciągania zobowiązań finansowych w imieniu tego podmiotu.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1.3</w:t>
      </w:r>
      <w:r w:rsidRPr="00572333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Kopia ak</w:t>
      </w:r>
      <w:r w:rsidRPr="00572333">
        <w:rPr>
          <w:rFonts w:ascii="Calibri" w:hAnsi="Calibri" w:cs="Calibri"/>
          <w:sz w:val="20"/>
          <w:szCs w:val="20"/>
        </w:rPr>
        <w:t>tualn</w:t>
      </w:r>
      <w:r>
        <w:rPr>
          <w:rFonts w:ascii="Calibri" w:hAnsi="Calibri" w:cs="Calibri"/>
          <w:sz w:val="20"/>
          <w:szCs w:val="20"/>
        </w:rPr>
        <w:t>ego</w:t>
      </w:r>
      <w:r w:rsidRPr="00572333">
        <w:rPr>
          <w:rFonts w:ascii="Calibri" w:hAnsi="Calibri" w:cs="Calibri"/>
          <w:sz w:val="20"/>
          <w:szCs w:val="20"/>
        </w:rPr>
        <w:t xml:space="preserve"> statut</w:t>
      </w:r>
      <w:r>
        <w:rPr>
          <w:rFonts w:ascii="Calibri" w:hAnsi="Calibri" w:cs="Calibri"/>
          <w:sz w:val="20"/>
          <w:szCs w:val="20"/>
        </w:rPr>
        <w:t>u</w:t>
      </w:r>
      <w:r w:rsidRPr="00572333">
        <w:rPr>
          <w:rFonts w:ascii="Calibri" w:hAnsi="Calibri" w:cs="Calibri"/>
          <w:sz w:val="20"/>
          <w:szCs w:val="20"/>
        </w:rPr>
        <w:t xml:space="preserve"> oferenta</w:t>
      </w:r>
      <w:r>
        <w:rPr>
          <w:rFonts w:ascii="Calibri" w:hAnsi="Calibri" w:cs="Calibri"/>
          <w:sz w:val="20"/>
          <w:szCs w:val="20"/>
        </w:rPr>
        <w:t xml:space="preserve"> potwierdzona za zgodność z oryginałem</w:t>
      </w:r>
      <w:r w:rsidRPr="00572333">
        <w:rPr>
          <w:rFonts w:ascii="Calibri" w:hAnsi="Calibri" w:cs="Calibri"/>
          <w:sz w:val="20"/>
          <w:szCs w:val="20"/>
        </w:rPr>
        <w:t>.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AC55C7" w:rsidRDefault="00A679A1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sectPr w:rsidR="00A679A1" w:rsidRPr="00AC55C7" w:rsidSect="0057233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4" w:rsidRDefault="00EB3EC4">
      <w:r>
        <w:separator/>
      </w:r>
    </w:p>
  </w:endnote>
  <w:endnote w:type="continuationSeparator" w:id="0">
    <w:p w:rsidR="00EB3EC4" w:rsidRDefault="00E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1" w:rsidRPr="00C96862" w:rsidRDefault="00A679A1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2D5AB1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679A1" w:rsidRDefault="00A67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4" w:rsidRDefault="00EB3EC4">
      <w:r>
        <w:separator/>
      </w:r>
    </w:p>
  </w:footnote>
  <w:footnote w:type="continuationSeparator" w:id="0">
    <w:p w:rsidR="00EB3EC4" w:rsidRDefault="00EB3EC4">
      <w:r>
        <w:continuationSeparator/>
      </w:r>
    </w:p>
  </w:footnote>
  <w:footnote w:id="1">
    <w:p w:rsidR="00A679A1" w:rsidRDefault="00A679A1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79A1" w:rsidRDefault="00A679A1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679A1" w:rsidRDefault="00A679A1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679A1" w:rsidRDefault="00A679A1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679A1" w:rsidRDefault="00A679A1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79A1" w:rsidRDefault="00A679A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679A1" w:rsidRDefault="00A679A1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79A1" w:rsidRDefault="00A679A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679A1" w:rsidRDefault="00A679A1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679A1" w:rsidRDefault="00A679A1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79A1" w:rsidRDefault="00A679A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79A1" w:rsidRDefault="00A679A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79A1" w:rsidRDefault="00A679A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679A1" w:rsidRDefault="00A679A1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679A1" w:rsidRDefault="00A679A1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679A1" w:rsidRDefault="00A679A1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79A1" w:rsidRDefault="00A679A1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679A1" w:rsidRDefault="00A679A1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EC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972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B1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64BE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B7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9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4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33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4445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85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E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343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A16"/>
    <w:rsid w:val="00862C23"/>
    <w:rsid w:val="00863112"/>
    <w:rsid w:val="00863B54"/>
    <w:rsid w:val="0086480B"/>
    <w:rsid w:val="00866E30"/>
    <w:rsid w:val="00870868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F1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B20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9A1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B4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EC4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D3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User</cp:lastModifiedBy>
  <cp:revision>2</cp:revision>
  <cp:lastPrinted>2019-02-04T09:30:00Z</cp:lastPrinted>
  <dcterms:created xsi:type="dcterms:W3CDTF">2019-02-04T09:31:00Z</dcterms:created>
  <dcterms:modified xsi:type="dcterms:W3CDTF">2019-02-04T09:31:00Z</dcterms:modified>
</cp:coreProperties>
</file>